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(t.j.: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AF3266">
        <w:rPr>
          <w:rFonts w:ascii="Arial" w:hAnsi="Arial" w:cs="Arial"/>
          <w:sz w:val="18"/>
          <w:szCs w:val="18"/>
        </w:rPr>
        <w:t>U</w:t>
      </w:r>
      <w:r>
        <w:rPr>
          <w:rFonts w:ascii="Arial" w:hAnsi="Arial" w:cs="Arial"/>
          <w:sz w:val="18"/>
          <w:szCs w:val="18"/>
        </w:rPr>
        <w:t>mowy</w:t>
      </w:r>
      <w:r w:rsidR="00AF3266">
        <w:rPr>
          <w:rFonts w:ascii="Arial" w:hAnsi="Arial" w:cs="Arial"/>
          <w:sz w:val="18"/>
          <w:szCs w:val="18"/>
        </w:rPr>
        <w:t xml:space="preserve">. </w:t>
      </w:r>
      <w:r w:rsidR="00AF3266" w:rsidRPr="00AF3266">
        <w:rPr>
          <w:rFonts w:ascii="Arial" w:hAnsi="Arial" w:cs="Arial"/>
          <w:sz w:val="18"/>
          <w:szCs w:val="18"/>
        </w:rPr>
        <w:t>Minimalna ilość zamówienia, jaką Zamawiający zobowiązuje się zrealizować wynosi 70%.</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(skan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r>
        <w:rPr>
          <w:rFonts w:ascii="Arial" w:hAnsi="Arial" w:cs="Arial"/>
          <w:sz w:val="18"/>
          <w:szCs w:val="18"/>
        </w:rPr>
        <w:t xml:space="preserve">t.j.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D642A"/>
    <w:rsid w:val="001435E5"/>
    <w:rsid w:val="004D4728"/>
    <w:rsid w:val="005F3063"/>
    <w:rsid w:val="00650AF8"/>
    <w:rsid w:val="0065558C"/>
    <w:rsid w:val="006D6DCB"/>
    <w:rsid w:val="00754E48"/>
    <w:rsid w:val="007E635C"/>
    <w:rsid w:val="00817EA2"/>
    <w:rsid w:val="00861405"/>
    <w:rsid w:val="00AC6FF8"/>
    <w:rsid w:val="00AF3266"/>
    <w:rsid w:val="00BF3055"/>
    <w:rsid w:val="00C1413D"/>
    <w:rsid w:val="00D7579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1724</Words>
  <Characters>10344</Characters>
  <Application>Microsoft Office Word</Application>
  <DocSecurity>0</DocSecurity>
  <Lines>86</Lines>
  <Paragraphs>24</Paragraphs>
  <ScaleCrop>false</ScaleCrop>
  <Company/>
  <LinksUpToDate>false</LinksUpToDate>
  <CharactersWithSpaces>12044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2025-04-04T05:07:00Z</dcterms:created>
  <dcterms:modified xsi:type="dcterms:W3CDTF">2025-04-04T05:07:00Z</dcterms:modified>
  <dc:language>pl-PL</dc:language>
</cp:coreProperties>
</file>